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23.12.2019, оставленным без изменения постановлением Девятого арбитражного апелляционного суда от 04.06.2020, первоначальный иск удовлетворен частично, встречный иск удовлетворен в полном объеме. Постановлением Арбитражного суда Московского округа от 28.09.2020 решение от 23.12.2019 и постановление апелляционного суда от 04.06.2020 отменены в части заявленного в первоначальном иске требования о взыскании неустойки по день фактического исполнения обязательств по контракту и в указанной части дело направлено на новое рассмотрение в Арбитражный суд города Москвы; в остальной части судебные акты оставлены без изменения. В кассационной жалобе корпорация просит о пересмотре судебных актов в части удовлетворения встречного иска, ссылаясь на несоответствие их законодательству о государственном оборонном заказе.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завод передал корпорации документацию, сформированную и подтвержденную военным представительством, о переводе ориентировочной цены продукции в фиксированную, однако корпорация будучи головным исполнителем не осуществила согласования такой цены с заказчиком. Установленные обстоятельства исполнения сторонами контракта от 22.08.2017 № 1618187319842412208021837/922-538-06/17 правомерно признаны судами не освобождающими корпорацию от оплаты состоявшейся поставки, применение к которой статей 454, 506 Гражданского кодекса Российской Федерации правомерно.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«Объединенная авиастроительная корпорация»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