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21.05.2020 исковые требования удовлетворены. Определением Девятого арбитражного апелляционного суда от 30.09.2020, оставленным без изменения постановлением Арбитражного суда Московского округа от 16.11.2020, апелляционная жалоба возвращена ответчику в связи с пропуском срока подачи и отказом в удовлетворении ходатайства о восстановлении срока. В кассационной жалобе общество «САНРАЙЗ ИНЖИНИРИНГ» просит о пересмотре судебных актов в отношении возвращения апелляционной жалобы, ссылаясь на неполучение судебной корреспонденции в связи с закрытием офиса и прекращение деятельности из-за введенных ограничительных мер, что воспрепятствовало участию в судебном заседании и подаче заявления об уменьшении неустойки.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со своей стороны приняли установленные процессуальным законом меры для извещения ответчика о начавшемся судебном процессе, в то время как ответчик не обеспечил получение корреспонденции на период соблюдения ограничительных мер, поэтому пропуск срока на обжалование возложен на него в соответствии с частью 6 статьи 121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общества с ограниченной ответственностью «САНРАЙЗ ИНЖИНИРИНГ»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