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16.01.2020, оставленным без изменения постановлением Девятого арбитражного апелляционного суда от 15.06.2020 и постановлением Арбитражного суда Московского округа от 29.09.2020, в удовлетворении исков отказано. В кассационной жалобе общество просит об отмене судебных актов, ссылаясь на игнорирование преюдициального значения ранее принятых судебных актов в отношении исполнения обязательства и образовавшегося на стороне предприятия неосновательного обогащения.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Исполнение обязательств сторон по договору от 10.02.2014 № Р003-XII/14 установлено судами с учетом обстоятельств ранее рассмотренных дел № А40-55925/2015 и № А11-6862/2017. Исполнения на спорную сумму суды признали не доказанным. Вопросы доказывания и оценки доказательств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«Эль Тайде Техник»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"Эль Тайде Техник" (подробнее) Ответчики: ФГУП "Предприятие по поставкам продукции Управления делами Президента Российской Федерации"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