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«Тисо» (далее – общество) обратилось в суд с заявлением о включении в реестр требований кредиторов должника (далее – реестр) 3 000 000 рублей как обеспеченного залогом имущества должника. Определением Арбитражного суда Новосибирской области от 27.05.2020 заявление удовлетворено. Постановлением Седьмого арбитражного апелляционного суда от 15.06.2020, вышеуказанное определение отменено, в удовлетворении заявления о включении в реестр требования как обеспеченного залогом имущества по договору о залоге оборудования от 16.11.2017, от 10.09.2018 отказано; требование общества признано подлежащим удовлетворению в порядке очерёдности, предшествующей распределению ликвидационной квоты. Постановлением Арбитражного суда Западно-Сибирского округа от 14.10.2020 полностью отменено постановление апелляционного суда от 15.06.2020 и определение суда первой инстанции от 27.05.2020 в части признания требования общества обеспеченным залогом имуществом должника. В указанной части обособленный спор направлен на новое рассмотрение в Арбитражный суд Новосибирской области, в остальной части акт суда первой инстанции оставлен без изменения. 2 В кассационной жалобе, поданной в Верховный Суд Российской Федерации, заявитель просит отменить все указанные судебные акты и в полном объёме направить обособленный спор на новое рассмотрение в суд первой инстанции. Исходя из доводов кассационной жалобы, заявитель не согласен с постановлением суда округа.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обжалуемой части в силе определение суда первой инстанции, суд округа, руководствуясь пунктами 6.1, 6.2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 из того, что несмотря на фактическую заинтересованность должника и общества, исполнение поручителем своих обязательств перед независимым кредитором не являлось компенсационным финансированием, удовлетворение которого подлежит в очередности, предшествующей распределению ликвидационной квоты, поскольку произошло после возбуждения дела о банкротстве уже неплатёжеспособного должника и введении в отношении него процедуры наблюдения, в связи с чем в условиях неоспариваемой подтверждённости долга признал требование общества обоснованным и подлежащим включению в реестр. В связи неустановлением судом первой инстанции всех существенных для спора обстоятельств и отсутствием оценки доводов заявителя о злоупотреблении обществом своим правом при установлении прав залогодержателя, суд округа частично отменил определение суда первой инстанции и направил обособленный спор в отменённой части на новое рассмотрение.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3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«Калачиснкий молзавод» Тютюннику Андрею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конкурсного управляющего обществом с ограниченной ответственностью «Калачиснкий молзавод» Тютюнника Андрея Петровича об участии в судебном заседании путём использования систем видеоконференц- связи оставить без удовлетворения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