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Горлина Алексея Анатольевича, Мафцира Евгения Симховича, Дойнова Павла Димитровича, Дорогинина Михаила Ренатовича, Ерцева Бориса Михайловича, Швецова Александра Ростиславовича, Ткачук Натальи Петровны, Рассадина Владимира Вячеславовича к субсидиарной ответственности по обязательствам должника. Впоследствии в рамках рассмотрения данного обособленного спора конкурсный управляющий должником обратился в суд с заявлением о принятии обеспечительных мер в виде наложения ареста на имущество указанных лиц. Определением Арбитражного суда города Москвы от 05.06.2020, оставленным без изменения постановлениями Девятого арбитражного апелляционного суда от 31.08.2020 и Арбитражного суда Московского округа 2 от 17.11.2020, наложен арест на имущество Мафцира Е.С. в пределах суммы в размере 41 561 733 693 рублей 91 копейки, наложен арест на имущество Дойнова П.Д. в пределах суммы в размере 41 561 733 693 рублей 91 копейки, в том числе на помещение по адресу г. Москва, р-н Кузьминки, ул. Юных Ленинцев, д. 47, корп. 4, кв. 57, кадастровый номер 77:04:0004002:12459 (далее – квартира), долю в капитале общества с ограниченной ответственностью «Кинокомпания «Телефильм» в размере 20%, отказано в удовлетворении заявления в части принятия обеспечительных мер в отношении имущества Горлина А.А., Дорогинина М.Р., Ерцева Б.М., Швецова А.Р., Ткачук Н.П., Рассадина В.В. В кассационной жалобе, поданной в Верховный Суд Российской Федерации, заявитель просит изменить указанные судебные акты, отказать в удовлетворении заявления о принятии обеспечительных мер в отношении вышеуказанной квартиры.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таких оснований не установлено. Удовлетворяя ходатайство в обжалуемой части,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90 и 92 Арбитражного процессуального кодекса Российской Федерации, статьи 46 Федерального закона от 26.10.2002 № 127-ФЗ «О несостоятельности (банкротстве)», исходил из того, что испрашиваемая обеспечительная мера соразмерна заявленным требованиям, а также направлена на сохранение существующего состояния отношений между сторонами и обеспечивает соблюдение баланса интересов всех лиц, вовлеченных в процесс банкротства должника. Суды апелляционной инстанции и округа поддержали выводы суда первой инстанции, проверили доводы заявителя, изложенные в настоящее жалобе, и, дав им надлежащую правовую оценку, отклонили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Дойнову Павлу Димитровичу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