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«Муллит» обратилось в Арбитражный суд Челябинской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«Бюро независимых экспертиз и оценки», некоммерческому партнерству Саморегулируемая организация «Национальное объединение судебных экспертов», Кондрух Юлии Николаевне и страховому акционерному обществу «ВСК» о солидарном взыскании 35 421 992 рублей 02 копеек убытков. К участию в деле в качестве третьего лица, не заявляющего самостоятельных требований относительно предмета спора, привлечено акционерное общество «Высокотемпературные строительные материалы». 2 Решением Арбитражного суда Челябинской области от 13.03.2020 в удовлетворении иска отказано. Постановлением Восемнадцатого арбитражного апелляционного суда от 09.06.2020 решение суда первой инстанции оставлено без изменения. Арбитражный суд Уральского округа постановлением от 02.10.2020 указанные судебные акты оставил без изменения. Общество с ограниченной ответственностью «Муллит»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393 Гражданского кодекса Российской Федерации, статьей 69 Арбитражного процессуального кодекса Российской Федерации, учли правовую позицию, изложенную в постановлении Конституционного Суда Российской Федерации от 21.12.2011 № 30-П, исходили из преюдициального значения для рассматриваемого дела судебного акта Арбитражного суда Челябинской области от 15.02.2019 по обособленному спору в рамках дела № А76-26594/2015, при принятии которого судом исследовано спорное экспертное заключение и ему дана правовая оценка, признав, что заявленный иск фактически направлен на переоценку выводов, сделанных Арбитражным судом Челябинской области по указанному делу, и пришли к выводу о недоказанности противоправных действий ответчиков, причинно-следственной связи между действиями ответчиков и возникшими убытками истца, вины ответчиков и размера убытков.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«Муллит»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