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01.06.2020, оставленным без изменения постановлением Седьмого арбитражного апелляционного суда от 23.07.2020 и постановлением Арбитражного суда Западно-Сибирского округа от 22.10.2020,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(подрядчика) мотивированы наличием у компании (заказчика) задолженности за выполненные работы по третьему этапу в рамках договора от 01.06.2017 № КГ17/190 (далее – договор). Исследовав и оценив по правилам статьи 71 Арбитражного процессуального кодекса представленные в материалы дела доказательства, руководствуясь статьями 702 , 721 , 758 Гражданского кодекса Российской Федерации, суды первой и апелляционной инстанций, с которыми впоследствии согласился суд округа, пришли к выводу об отсутствии оснований для удовлетворения исковых требований, исходя из недоказанности обществом факта выполнения работ в соответствии с условиями договора, имеющих для компании потребительскую ценность. В обжалуемых судебных актах приведено подробное обоснование выводов, сделанных судами при рассмотрении дела.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«СибЭнергоСтрой»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"Сибэнергострой" (подробнее) Ответчики: АО "Кемеровская генерация" (подробнее) Иные лица: ФГУ "Главное бассейновое управление по рыболовству и сохранению водных биологических ресурсов"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