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«МАРКЕТАГРО» обратилось в Арбитражный суд Краснодарского края с иском, уточненным в порядке статьи 49 Арбитражного процессуального кодекса Российской Федерации, о взыскании с закрытого акционерного общества «Мирное» 429 700 рублей долга по договору поставки от 15.06.2015 № 25, 703 595 рублей 97 копеек процентов за пользование коммерческим кредитом и 149 173 рублей 74 копеек процентов за пользование чужими денежными средствами. Решением Арбитражного суда Краснодарского края от 11.03.2020 иск удовлетворен. Постановлением Пятнадцатого арбитражного апелляционного суда от 17.06.2020 решение суда первой инстанции отменено и в удовлетворении иска отказано. Арбитражный суд Северо-Кавказского округа постановлением от 07.10.2020 постановление суда апелляционной инстанции оставил без изменения. Общество с ограниченной ответственностью «МАРКЕТАГРО»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апелляционный суд руководствовался положениями статей 182 , 195 , 196 , 200 , 203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 из того, что истцом пропущен срок исковой давности, признав при этом, что течение срока исковой давности не прерывалось.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«МАРКЕТАГРО»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"МАРКЕТАГРО" (подробнее) Ответчики: ЗАО "Мирное" (подробнее) Судьи дела: Зарубина Е.Н. (судья)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