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«Федеральная пассажирская компания» обратилось в Арбитражный суд города Москвы с иском о взыскании с акционерного общества «Почта России» 1 891 920 рублей штрафа. Решением Арбитражного суда города Москвы от 13.03.2020 иск удовлетворен в части взыскания 350 000 рублей штрафа, в удовлетворении иска в остальной части отказано. Постановлением Девятого арбитражного апелляционного суда от 07.07.2020 решение суда первой инстанции оставлено без изменения. Арбитражный суд Московского округа постановлением от 08.10.2020 указанные судебные акты оставил без изменения. Акционерное общество «Почта России»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предъявления запрещенных к перевозке в качестве грузобагажа предметов, а также правильность начисления установленного договором штрафа, руководствуясь статьей 111 Федерального закона от 10.01.2013 № 18-ФЗ «Устав железнодорожного транспорта Российской Федерации», суды пришли к выводу о наличии оснований для удовлетворения иска, снизив размер подлежащего взысканию штрафа на основании статьи 333 Гражданского кодекса Российской Федерации в связи с его явной несоразмерностью последствиям нарушения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«Почта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"Федеральная пассажирская компания" (подробнее) Ответчики: АО "Почта России"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