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«Элгер» обратилось в Арбитражный суд города Москвы с иском о взыскании с индивидуального предпринимателя ФИО1 363 790 рублей неосновательного обогащения. Решением Арбитражного суда города Москвы от 28.02.2020 иск удовлетворен. Постановлением Девятого арбитражного апелляционного суда от 06.07.2020 решение суда первой инстанции оставлено без изменения. Арбитражный суд Московского округа постановлением от 06.10.2020 указанные судебные акты оставил без изменения. Индивидуальный предприниматель ФИО1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установив факт получения ответчиком денежных средств и отсутствие доказательств исполнения встречных обязательств по поставке товара или возврата денежных средств истцу, руководствуясь положениями статей 8 , 309 , 310 , 487 , 1102 Гражданского кодекса Российской Федерации, суды пришли к выводу об обоснованности заявленного требования.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Доводы жалобы о ненадлежащем извещении ответчика о времени и месте рассмотрения дела приводились в судах, были рассмотрены судами и отклонены с учетом положений статьи 123 Арбитражного процессуального кодекса Российской Федерации.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"ЭЛГЕР" (подробнее) Судьи дела: Зарубина Е.Н. (судья)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