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30.11.2020 № 307-ЭС19-14658 (13, 14, 15) отказано в передаче кассационных жалоб для рассмотрения в судебном заседании Судебной коллегии по экономическим спорам Верховного Суда Российской Федерации. При изготовлении данного определения допущена опечатка: в мотивировочной части неверно указано на проведение экспертиз, а именно содержится фраза «основываясь на оценке представленных в дело доказательств, результатах судебный технической и почерковедческой экспертиз». В соответствии со статьёй 184, частью 3 статьи 179 Арбитражного процессуального кодекса Российской Федерации эта опечатка подлежит исправлению. Руководствуясь статьями 179,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исправления в текст определения Верховного Суда Российской Федерации от 30.11.2020 № 307-ЭС19-14658 (13, 14, 15). Исключить слова «результатах судебный технической и почерковедческой экспертиз» из мотивировочной части определения.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