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27.01.2020, оставленным без изменения постановлением Пятнадцатого арбитражного апелляционного суда от 15.06.2020, с ответчика взыскано 839 699,06 рублей, а также расходы по уплате государственной пошлины, в остальной части в иске отказано. 2 Постановлением Арбитражного суда Северо-Кавказского округа от 28.10.2020 указанные судебные акты оставлены без изменения. Ответчик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Гражданского кодекса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суды частично удовлетворили иск, признав факт несвоевременного исполнения ответчиком обязательства, и взыскав проценты в пределах суммы неустойки, не усмотрев оснований для применения положений статьи 333 Гражданского кодекса Российской Федерации. Доводы жалобы повторяют позицию ответчика по делу, являлись предметом рассмотрения судов и получили исчерпывающую правовую оценку, не согласиться с которой оснований не имеется. 3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