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Северная Осетия-Алания от 23.01.2020, оставленным без изменения постановлением Пятнадцатого арбитражного апелляционного суда от 01.06.2020, заявленные требования удовлетворены. Постановлением Арбитражного суда Северо-Кавказского округа от 30.09.2020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2 статьи 14.6 Кодекса Российской Федерации об административных правонарушениях установлена ответственность за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Суды пришли к выводу о недоказанности административным органом в действиях общества состава правонарушения, ответственность за совершение которого предусмотрена частью 2 статьи 14.6 Кодекса Российской Федерации об административных правонарушениях, признав, что исследованный административным органом метод ведения обществом раздельного учета сам по себе не подтверждает факт нарушения порядка ценообразования. Доводы жалобы были предметом рассмотрения судов и получили исчерпывающую оценку в обжалуемых судебных актах исходя из отсутствия конкретных доказательств, свидетельствующих о том, что применяемый метод привел, либо мог привести к некорректному расчету и установлению регулируемых цен (тарифов),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"Севкавказэнерго" (подробнее) Ответчики: РСТ РСО-Алания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