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счетах.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Документы, отражающие имущественное положение общества на день подачи кассационной жалобы – 24.01.2021, не представлены (приложенные справки банков датированы августом 2020 года), поэтому ходатайство об отсрочке уплаты государственной пошлины удовлетворению не подлежит.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2 отклонено, требования к оформлению кассационной жалобы считаются не соблюденными и жалоба подлежит возврату, однако в связи с подачей в электронном –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«Лазер-Граффити» в предоставлении отсрочки уплаты государственной пошлины за подачу кассационной жалобы на решение Арбитражного суда города Москвы от 18.03.2020 по делу № А40-164193/2019, постановление Девятого арбитражного апелляционного суда от 07.08.2020 и постановление Арбитражного суда Московского округа от 27.11.2020 по тому же делу. Кассационную жалобу общества с ограниченной ответственностью «Лазер-Граффити»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