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19.03.2020, оставленным без изменения постановлением Седьмого арбитражного апелляционного суда от 15.06.2020, в удовлетворении заявленного требования отказано. Постановлением Арбитражного суда Западно-Сибирского округа от 07.10.2020 указанные судебные акты оставлены без изменения. В кассационной жалобе общество просит принятые по делу судебные акты отменить, принять новый судебный акт, заменить административное наказание в виде штрафа в размере 40 000 рублей по каждому постановлению на предупреждение в порядке, предусмотренном статье 4.1.1 Кодекса Российской Федерации об административных правонарушениях. Изучив изложенные в жалобе доводы и принятые по делу судебные акты, судья не находит оснований для удовлетворения жалобы. Частью 6.3 статьи 15.25 Кодекса Российской Федерации об административных правонарушениях предусмотрена административная ответственность за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Оценив представленные доказательства, руководствуясь положениями Федерального закона от 10.12.2003 № 173-ФЗ «О валютном регулировании и валютном контроле», Инструкцией Банка России от 16.08.2017 № 181-И «О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 о единых формах учета и отчетности по валютным операциям, порядке и сроках их представления», суды пришли к выводам о наличии в действиях общества состава вмененного административного правонарушения. 3 Судами проверены процедура и срок давности привлечения к административной ответственности, нарушений положений Кодекса Российской Федерации об административных правонарушениях не установлено. Штраф назначен обществу в минимальном размере, предусмотренном санкцией нормы. Доводы жалобы со ссылкой на положения статьи 4.1.1 Кодекса Российской Федерации об административных правонарушениях о необходимости замены назначенного обществу наказания в виде штрафа на предупреждение подлежат отклонению. Вопрос о снижении санкций связан с оценкой доказательств по делу и входит в компетенцию судов первой и апелляционной инстанций, которые не усмотрели наличия к тому правовых и фактических оснований.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