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18.02.2020, оставленным без изменения постановлением Шестнадцатого арбитражного апелляционного суда от 08.07.2020, оспариваемое постановление изменено в части назначения наказания, административный штраф снижен до 100 000 рублей. 2 Определением Арбитражного суда Северо-Кавказского округа от 29.09.2020 кассационная жалоба возвращена товариществу на основании пункта 1.1 части 1 статьи 281 Арбитражного процессуального кодекса Российской Федерации. Определением Арбитражного суда Северо-Кавказского округа от 03.11.2020 повторно поданная кассационная жалоба возвращена товариществу на основании пункта 2 части 1 статьи 281 Арбитражного процессуального кодекса Российской Федерации в связи с отказом в восстановлении пропущенного процессуального срока. Определением того же суда от 27.11.2020 указанное определение суда округа от 03.11.2020 оставлено без изменения. Товарищество обратилось в Верховный Суд Российской Федерации с кассационной жалобой, в которой просит определение суда округа от 27.11.2020 отменить, ссылаясь на допущенные, по его мнению,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заявителем причины несвоевременного обращения в суд с кассационной жалобой были рассмотрены судом и признаны неуважительными. Доказательств того, что, действуя разумно и добросовестно, товарищество столкнулось с обстоятельствами, объективно воспрепятствовавшими своевременному направлению кассационной жалобы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3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