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28.01.2020, оставленным без изменения постановлением Седьмого арбитражного апелляционного суда от 17.06.2020, оспариваемое постановление изменено в части назначения административного наказания, размер штрафа снижен до 250 000 рублей. Постановлением Арбитражного суда Западно-Сибирского округа от 08.10.2020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оспариваемые судебные акты отменить, заменить назначенное наказание в виде штрафа на предупреждение. Исходя из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реализации предпринимателем топлива, не соответствующего Техническому регламенту Таможенного союза 013/2011 «О требованиях к автомобильному и авиационному бензину, дизельному и судовому топливу, топливу для реактивных двигателей и мазуту», по показателю «объемная доля монометиланилина», «массовая доля серы», «температура вспышки в закрытом тигле». Частью 2 статьи 14.43.1 Кодекса Российской Федерации об административных правонарушениях установлена административная ответственность за нарушение изготовителем, исполнителем (лицом, выполняющим функции иностранного изготовителя) или продавцом требований технического регламента о требованиях к автомобильному и авиационному бензину, дизельному и судовому топливу, топливу для реактивных двигателей и мазуту в части несоответствия этим требованиям характеристик автомобильного и авиационного бензина, дизельного и судового топлива, топлива для реактивных двигателей и мазута. 3 Оценив представленные доказательства и установив нарушение продавцом требований технического регламента в части характеристик топлива, руководствуясь положениями Федерального закона от 27.12.2002 № 184-ФЗ «О техническом регулировании», Технического регламента Таможенного союза 013/2011, суды признали доказанным наличие в действиях предпринимателя состава административного правонарушения, ответственность за совершение которого предусмотрена частью 2 статьи 14.43.1 Кодекса Российской Федерации об административных правонарушениях. Суды установили, что процедура и срок давности привлечения к административной ответственности соблюдены, назначенный штраф соответствует целям административного наказания. Приведенные в кассационной жалобе доводы являлись предметом рассмотрения судов и получили исчерпывающую правовую оценку в соответствующих судебных актах, в том числе с учетом заявленных требований о замене назначенного наказания в виде штрафа на предупреждение, не согласиться с которой оснований не имеется.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