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04.03.2020, оставленным без изменения постановлением Пятнадцатого арбитражного 2 апелляционного суда от 27.07.2020, в удовлетворении заявленных требований отказано. Постановлением Арбитражного суда Северо-Кавказского округа от 05.10.2020 указанные судебные акты оставлены без изменения. В кассационной жалобе, поступившей в Верховный Суд Российской Федерации, общество просит отменить принятые по делу судебные акты, считая их незаконными и необоснованными. Изучив изложенные в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Оценив представленные доказательства, руководствуясь положениями статей 252, 257, 260, 374 Налогового кодекса Российской Федерации, суды отказали в удовлетворении заявленных требований, признав, что общество неправомерно произвело уплату налогов в порядке, предусмотренном для объекта капитального ремонта. Доводы жалобы относительно определения характера произведенных работ были предметом рассмотрения судов и получили исчерпывающую правовую оценку в обжалуемых судебных актах, не согласиться с которой оснований не имеется исходя из полномочий Верховного Суда Российской Федерации. Вывод судов относительно соблюдения срока давности при привлечении общества к ответственности за неуплату налогов согласуется с правовой позицией, изложенной в пункте 15 Постановления Пленума Высшего Арбитражного Суда Российской Федерации от 30.07.2013 № 57 «О некоторых вопросах, возникающих при применении арбитражными судами части первой Налогового кодекса Российской Федерации». Доводов, подтверждающих существенные нарушения норм материального и процессуального права, которые могли повлиять на исход дела 3 и являются достаточным основанием для пересмотра обжалуемых судебных актов в кассационном порядке, в жалобе не приведено. Учитывая изложенное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