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27.01.2021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Уральского округа от 20.10.2020, срок на обжалование которого истек 21.12.2020. Обратившись с кассационной жалобой 27.01.2021, заявитель пропустил установленный законодательством срок на ее подачу. 2 Несвоевременную подачу жалобы заявитель обосновывает болезнью директора общества.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3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извещено о судебном разбирательстве в суде первой инстанции и его представитель участвовал при рассмотрении дела в судах трех инстанций. С полным текстом последнего обжалуемого судебного акта - постановления суда округа от 20.10.2020 общество могло ознакомиться 21.10.2020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Кроме этого, временная нетрудоспособность руководителя относится к внутренним организационным вопросам общества, которые, согласно пункту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с наличием которых процессуальный закон связывает возможность восстановления срока на обжалование судебных актов. 4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«ИдельСтройРесурс»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Республики Башкортостан от 12.03.2020, постановление Восемнадцатого арбитражного апелляционного суда от 09.07.2020 и постановление Арбитражного суда Уральского округа от 20.10.2020 по делу № А07-30758/2018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