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25.01.2021 с ходатайством о восстановлении срока. Предприниматель указывает, что не мог подать жалобу в установленный срок по объективным причинам.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жалобой, в том числе в связи с отсутствием у него сведений об обжалуемом судебном акте, по ходатайству указанного лица может быть восстановлен судьей,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допускается. 2 Предприниматель подал ходатайство за пределами названного срока, поэтому срок восстановлению не подлежит. Учитывая подачу документов в электронном виде, жалоба не рассматривается по существу, государственная пошлина принимаемым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Матюшенко Юрию Федоровичу в восстановлении срока подачи кассационной жалобы на решение Арбитражного суда Республики Крым от 18.06.2019 по делу № А83-12843/2018, постановление Двадцать первого арбитражного апелляционного суда от 08.11.2019 и постановление Арбитражного суда Центрального округа от 26.02.2020 по тому же делу. Кассационную жалобу индивидуального предпринимателя Матюшенко Юрия Федоровича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