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25.02.2020, оставленным без изменения постановлением Тринадцатого арбитражного апелляционного суда от 25.06.2020, в удовлетворении первоначального и встречного исков отказано. Постановлением Арбитражного суда Северо-Западного округа от 05.10.2020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330 , 401 , 769 , 777 Гражданского кодекса Российской Федерации, Федерального закона от 29.12.2012 № 275-ФЗ «О государственном оборонном заказе», суды отказали в удовлетворении первоначального и встречного иска, не установив вины исполнителя в просрочке исполнения обязательства, и признав, что отказ общества как заказчика от приемки работ обоснован. Доводы жалобы, в том числе, об отсутствии вины исполнителя были предметом исследования судов и получили исчерпывающую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"ЦЕНТРАЛЬНОЕ КОНСТРУКТОРСКОЕ БЮРО МОРСКОЙ ТЕХНИКИ "РУБИН" (подробнее) Ответчики: АО "АКВАМАРИН"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