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18.03.2020, оставленным без изменения постановлением Седьмого арбитражного апелляционного суда от 17.06.2020, в удовлетворении требования отказано. Постановлением Арбитражного суда Западно-Сибирского округа от 01.10.2020 указанные судебные акты оставлены без изменения. В кассационной жалобе общество просит принятые по делу судебные акты отменить, считая их незаконными и необоснованными. Исходя из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Оценив представленные доказательства, руководствуясь положениями Указаний Банка России от 05.09.2016 № 4129-У, Указаний Банка России от 15.05.2019 №5143-У, статей 1.7, 31.7 Кодекса Российской Федерации об административных правонарушениях, суды отказали в удовлетворении заявленных требований, не установив обстоятельств, свидетельствующих о том, что действия общества с учетом изменения правового регулирования перестали иметь характер правонарушения, ответственность за совершение которого предусмотрена частью 12 статьи 15.29 Кодекса Российской Федерации об административных правонарушениях. Доводы, изложенные в кассационной жалобе, являлись предметом рассмотрения судов и им дана исчерпывающая надлежащая правовая оценка с учетом представленных доказательств,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