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16.12.2019, оставленным без изменения постановлением Двадцать первого арбитражного апелляционного суда от 15.07.2020, иск удовлетворен. 2 Постановлением Арбитражного суда Центрального округа от 02.11.2020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330, 431, 708, 753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признав факт просрочки исполнения подрядчиком обязательств, предусмотренных контрактом. Доводы жалобы были предметом исследования судов и получили исчерпывающую правовую оценку исходя из установленных обстоятельств, свидетельствующих о том, что сторонами согласовано поэтапное выполнение работ, не согласиться с которой оснований не имеется. Ссылаясь на допущенные, по мнению общества, судом первой инстанции процессуальные нарушения, общество в жалобе не указывает, какие конкретно документы, возражения и объяснения по существу спора оно было лишено возможности представить. Доводов о том, что указанные обстоятельства привели или могли привести к принятию неправильных судебных актов по делу, в жалобе также не приведено.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