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09.03.2020, оставленным без изменения постановлением Тринадцатого арбитражного апелляционного суда от 22.06.2020, в иске отказано. Постановлением Арбитражного суда Северо-Западного округа от 02.10.2020 указанные судебные акты оставлены без изменения. 2 Истец обратился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309, 310, 330, 401, 777 Гражданского кодекса Российской Федерации, суды в иске отказали, признав недоказанным наличие вины исполнителя в нарушении сроков поставки изделия в предусмотренный контрактом срок. Доводы жалобы были предметом исследования судов и получили исчерпывающую правовую оценку с учетом представленных документов,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