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21.02.2020, оставленным без изменения постановлением Девятого арбитражного апелляционного суда от 21.07.2020, с ответчиков в пользу истца взысканы солидарно убытки в размере 813,43 евро, судебные расходы в размере 200 евро, в удовлетворении остальной части требований отказано. 2 Постановлением Арбитражного суда Московского округа от 16.10.2020 указанные судебные акты оставлены без изменения. В кассационной жалобе, поступившей в Верховный Суд Российской Федерации, таможенный орган просит отменить обжалуемые судебные акты, считая их принятыми с нарушением норм материального и процессуального права. Исходя из доводов жалобы,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 Руководствуясь положениями статей 15, 1069 Гражданского кодекса Российской Федерации, статьей 110, 112 Арбитражного процессуального кодекса Российской Федерации, суды частично удовлетворили требования, признав, что общество вправе требовать возмещения спорных расходов, которые оно понесло для защиты своих прав и законных интересов при оспаривании постановления таможенного органа в суде. Доводы, изложенные в кассационной жалобе, являлись предметом рассмотрения судов, им дана исчерпывающая правовая оценка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