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19.03.2020, оставленным без изменения постановлением Восемнадцатого арбитражного апелляционного суда от 04.06.2020, в удовлетворении заявленного требования отказано. 2 Постановлением Арбитражного суда Уральского округа от 02.10.2020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требования, суды руководствовались положениями статей 252, 265, 270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исходили из того, что налоговым органом представлены доказательства, свидетельствующие об искажении сведений о фактах хозяйственной жизни, посредством создания искусственных условий для необоснованного уменьшения налоговой базы по налогу на прибыль организаций за 2015 год. 3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