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12.03.2020, оставленным без изменения постановлением Тринадцатого арбитражного апелляционного суда от 23.06.2020, в удовлетворении иска отказано. Арбитражный суд Северо-Западного округа постановлением от 12.11.2020 решение от 12.03.2020 и постановление Тринадцатого арбитражного апелляционного суда от 23.06.2020 оставил без изменения. В кассационной жалобе страховое общество просит об отмене судебных актов, ссылаясь на неуказание мотивов непринятия материалов 2 административного дела в качестве доказательств и неправильный вывод судов первой и апелляционной инстанций об отсутствии обязанности администрации по содержанию автомобильных дорог.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Условия, необходимые в силу статей 15, 1064 Гражданского кодекса Российской Федерации для взыскания убытков вследствие причинения вреда, устанавливаются судами. Окружной суд со ссылкой на соответствующие доказательства, исследованные нижестоящими судами, оставил их судебные акты без изменения в связи с неподтвержденностью такого условия для возложения на администрацию возмещенных страховым обществом убытков как ненадлежащее содержание внутриквартальной территории, на которой произошло повреждение транспортного средства.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«Страховое общество «Помощь» в передаче заявления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