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19.02.2020, оставленным без изменения постановлениями Девятого арбитражного апелляционного суда от 10.08.2020 и Арбитражного суда Московского округа от 21.10.2020,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от 06.08.2019 об одностороннем отказе от исполнения контракта, заключенного с обществом (подрядчик), на выполнение работ по разработке проектно-сметной документации на капитальный ремонт электрики и структурированной кабельной сети в здании, в связи с неисполнением подрядчиком обязательств в установленный в нем срок. Указанные обстоятельства послужили основанием для обращения заказчика в антимонопольный орган с заявлением о включении сведений об обществе в реестр недобросовестных поставщиков.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ненормативный акт антимонопольного органа соответствует действующему законодательству и не нарушает права и законные интересы заявителя в экономической сфере. Судебные инстанции исходили из наличия оснований для включения информации об обществе в реестр недобросовестных поставщиков. При исследовании обстоятельств дела установлен факт виновного нарушения подрядчиком своих обязательств и непринятия им мер для устранения допущенных нарушений. Суды пришли к выводу о том, что действия общества не были направлены на добросовестное исполнение предусмотренных контрактом обязательств. Изложенные в кассационной жалобе доводы, являлись предметом рассмотрения судов трех инстанций и получили надлежащую правовую оценку 3 с учетом установленных по делу обстоятельств, повторяют позицию заявителя по спору, не опровергают выводы судов и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«Вальтер 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