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11.03.2020, оставленным без изменения постановлением Одиннадцатого арбитражного апелляционного суда от 23.07.2020, заявленные требования удовлетворены. Арбитражный суд Поволжского округа постановлением от 24.11.2020 названные судебные акты отменил, дело направил на новое рассмотрение в Арбитражный суд Республики Татарстан. 2 В кассационной жалобе общество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антимонопольного органа Исполнительный комитет, Палата имущественных и земельных отношений, общество признаны нарушившими положения статьи 16 Федерального закона от 26.07.2006 № 135-ФЗ «О защите конкуренции» (далее – Закон о защите конкуренции), выдано соответствующее предписание. Управление пришло к выводу о том, что фактические действия органов местного самоуправления и общества выразились в достижении антиконкурентного соглашения, реализация которого привела к предоставлению и использованию обществом земельного участка с кадастровым номером 16:16:080304:59 с нарушением действующего законодательства и ограничению конкуренции Не соглашаясь с ненормативными актами управления, общество обратилось в арбитражный суд с соответствующим заявлением. Удовлетворяя заявленные требования, суды первой и апелляционной инстанций исходили из того, что факт заключения договора аренды сам по себе не может свидетельствовать о нарушении сторонами положений статьи 16 Закона о защите конкуренции при отсутствии каких-либо доказательств наличия соглашения либо согласованных действий, запрещенных этой нормой; иных выводов о наличии между обществом и третьими лицами соглашений либо согласованных действий, запрещенных статьей 16 Закона о защите конкуренции, антимонопольным органом в решении не приведено и доказательства таких обстоятельств не представлены. Отменяя принятые по делу судебные акты и направляя дело на новое рассмотрение, суд кассационной инстанции установил, что при рассмотрении спора не дана надлежащая оценка доводам антимонопольного органа о том, что Исполнительный комитет и Палата имущественных и земельных отношений, обладая достаточными основаниями для отказа в предоставлении обществу 3 земельного участка, в обход конкурентных процедур заключили договор аренды земельного участка, судами не исследованы все обстоятельства дела. При таких обстоятельствах суд округа, руководствуясь положениями статей 284 - 289 Арбитражного процессуального кодекса Российской Федерации, направил дело на новое рассмотрение, указав, что при новом рассмотрении суду следует устранить указанные нарушения норм права, установить и исследовать все обстоятельства, входящие в предмет доказывания и имеющие значение для правильного разрешения спора.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