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25.10.2019, принятым в порядке упрощенного производства, в удовлетворении исковых требований отказано. Тринадцатый арбитражный апелляционный суд определением от 12.03.2020 перешел к рассмотрению дела по правилам, установленным Арбитражным процессуальным кодексом Российской Федерации для рассмотрения дела в арбитражном суде первой инстанции по общим правилам искового производства, постановлением от 03.06.2020 отменил решение суда первой инстанции и отказал в удовлетворении исковых требований. Постановлением Арбитражного суда Северо-Западного округа от 01.10.2020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и обстоятельства его исполнения сторонами, установив, что общество (исполнитель) частично исполнило обязательства по договору (вывоз и монтаж оборудования не произвело), суд апелляционной инстанции пришел к выводу об отсутствии у исполнителя права требования оплаты работ в полном объеме и, руководствуясь статьями 421 , 431 , 702 , 711 , 753 Гражданского кодекса Российской Федерации, отказал в удовлетворении исковых требований. С указанными выводами впоследствии согласился суд округа.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«Пирс»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"Пирс" (подробнее) Ответчики: ООО адвокат МК "Каскад" Сысенко Д.В. (подробнее) ООО МНОГОПРОФИЛЬНАЯ КОМПАНИЯ "КАСКАД"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