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25.06.2018, оставленным без изменения постановлением Семнадцатого арбитражного апелляционного суда от 16.06.2020 и постановлением Арбитражного суда Уральского округа от 28.09.2020, исковые требования удовлетворены. В кассационной жалобе, поданной в Верховный Суд Российской Федерации, общество, ссылаясь на нарушение судами норм материального права,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2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Удовлетворяя исковые требования, суды первой и апелляционной инстанций,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450, 450.1, 740, 746, 753, 1102 Гражданского кодекса Российской Федерации, разъяснениями, приведенными в информационном письме Президиума Высшего Арбитражного Суда Российской Федерации от 24.01.2000 № 51 «Обзор практики разрешения споров по договору строительного подряда», постановлении Пленума Высшего Арбитражного Суда Российской Федерации от 06.06.2014 № 35 «О последствиях расторжения договора», исходили из того, что договор расторгнут, доказательств выполнения работ на сумму предоставленного истцом аванса и предъявления работ к приемке в соответствии с условиями договора ответчиком не представлено, поэтому у него не имеется правовых оснований для удержания спорной суммы и она подлежит возврату. С указанными выводами впоследствии согласился суд округа.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доводы жалобы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открытого акционерного общества «Инжком»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