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19.01.2021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При наличии намерения на обжалование судебного акта надлежащие оформление и подача жалобы возложены на заинтересованное лицо, которое несет последствия несовершения положенных действий в срок. Подачей первичной кассационной жалобы в последний день срока, установленного на обжалование, заявитель лишил себя возможности исправить допущенные недостатки в пределах этого срока, что было бы возможным при проявлении разумной осмотрительности. Причин, которые бы помешали при первоначальном обращении с кассационной жалобой укомплектовать ее необходимыми приложениями, заявитель не приводит. При этом представитель общества присутствовал в судебном заседании суда округа, общество было инициатором подачи кассационной жалобы, полный текст постановления своевременно опубликован 20.10.2020 в Картотеке арбитражных дел, размещенной на сайте в информационно - телекоммуникационной сети «Интернет».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В связи с изложенным ходатайство о восстановлении пропущенного процессуального срока следует оставить без удовлетворения в связи с отсутствием уважительных причин пропуска срока, а кассационную жалобу - возвратить заявителю. Руководствуясь статьями 117, 184, 291.2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«Сервис»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