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Озеров Павел Павлович обратился в суд с заявлением о признании недействительными заключенных между должником, обществами с ограниченной ответственностью «Лизинговая компания «Сименс – Финанс» (далее – компания) и «Диливери» договоров купли-продажи от 19.05.2014 и 11.06.2014; заключенных компанией и обществом договоров финансовой аренды от 19.05.2014 и 11.06.2014; заключенных обществом и должником договоров субаренды от 29.05.2014 и 11.06.2014; применении последствий недействительности сделок. Определением Арбитражного суда Ставропольского края от 17.04.2019, оставленным без изменения постановлением Шестнадцатого арбитражного апелляционного суда от 05.07.2019, заявленные требования удовлетворены. Постановлением Арбитражного суда Северо-Кавказского округа от 24.10.2019 вышеуказанные судебные акты отменены, дело направлено на новое рассмотрение в Арбитражный суд Ставропольского края. При новом рассмотрении определением Арбитражного суда Ставропольского края от 21.02.2020, оставленным без изменения постановлениями Шестнадцатого арбитражного апелляционного суда от 30.06.2020 и Арбитражного суда Северо-Кавказского округа от 28.09.2020, 2 заявление удовлетворено частично. Признаны недействительными заключенные обществом и должником договоры субаренды от 29.05.2014 и 11.06.2014, с общества в пользу должника взыскано 13 588 363 рубля 37 копеек; в остальной части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Арбитражного суд Ставропольского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 первой инстанции, руководствуясь статьями 10, 170 Гражданского кодекса Российской Федерации, пунктами 1 и 2 статьи 61.2 Федерального закона от 26.10.2002 № 127-ФЗ «О несостоятельности (банкротстве)», не установил правовых оснований для признания недействительными договоров купли-продажи и финансовой аренды по заявленным основаниям, поскольку нарушение прав кредиторов произошло в результате последующей передачи проданного должником оборудования обществу в субаренду на условиях, позволяющих не только приобрести последнее в собственность по окончании договора лизинга, но и в короткий срок получить полную компенсацию своих платежей по таким договорам лизинга, в том числе получить дополнительную прибыль в размере, превышающем стоимость отчуждения его должником. Суд признал недействительными договоры субаренды в связи с умыслом общества на получение имущественной выгоды за счёт должника в условиях осведомлённости о действительном положении последнего, что представляло собой злоупотребление правом. Суды апелляционной инстанции и округа согласились с данными выводами.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«Деливери»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