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«АК «ТРАНСАЭРО» обратилось в Арбитражный суд города Москвы с иском о взыскании с публичного акционерного общества «Промсвязьбанк» 3 354 184 рублей 89 копеек неустойки за просрочку оплаты долга. Решением Арбитражного суда города Москвы от 24.12.2019 в удовлетворении иска отказано. Постановлением Девятого арбитражного апелляционного суда от 23.03.2020 (с учетом определения об исправлении опечатки от 28.05.2020) решение суда первой инстанции отменено, иск удовлетворен. Арбитражный суд Московского округа постановлением от 28.09.2020 постановление суда апелляционной инстанции оставил без изменения. Публичное акционерное общество «Промсвязьбанк»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 апелляционной инстанции руководствовался положениями статей 195, 199, 202, 207 Гражданского кодекса Российской Федерации, разъяснениями, изложенными в постановлении Пленума Верховного Суда Российской Федерации от 29.09.2015 N 43 «О некоторых вопросах, связанных с применением норм Гражданского кодекса Российской Федерации об исковой давности», и исходил из того, что банком допущена просрочка исполнения обязательств по договору, влекущая начисление договорной неустойки (пени), срок исковой давности на взыскание которой не пропущен.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установленных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«Промсвязьбанк»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