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НК РФ,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2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надлежащих доказательств (подтвержденный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свидетельствующих, что имущественное положение заявителя на момент подачи жалобы не позволяет ему уплатить при обращении с кассационной жалобой государственную пошлину в установленном размере. Представленные документы – справка о состоянии счета АО «КБ «Хлынов» от 12.01.2021 с указание остатка по счету 918 рублей 54 копеек и платежное поручение от 14.01.2021 № 3 на сумму 500 рублей не являются надлежащими доказательствами, свидетельствующими о том, что имущественное положение заявителя на момент подачи жалобы не позволяет ему уплатить при обращении с кассационной жалобой государственную пошлину.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«Авто-профиль»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«Авто-профиль» на решение Арбитражного суда Кировской области от 17.04.2020 по делу № А28-2005/2019, постановление Второго арбитражного апелляционного суда от 02.07.2020 и постановление Арбитражного суда Волго-Вятского округа от 17.11.2020 по тому же делу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