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возвращена письмом Верховного Суда Российской Федерации от 15.01.2021 на основании пункта 1 части 1 статьи 291.5 Арбитражного процессуального кодекса Российской Федерации в связи с нарушением требований, установленных пунктом 2 части 5 статьи 291.3 АПК РФ – отсутствием документов, подтверждающих уплату государственной пошлины в установленных порядке и размере. Повторно кассационная жалоба подана обществом посредством заполнения формы, размещенной на официальном сайте суда в информационно-телекоммуникационной сети «Интернет», 21.01.2021, то есть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2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А33-24485/2019 является постановление Арбитражного суда Восточно-Сибирского округа от 05.11.2020, вступившее в законную силу, согласно части 5 статьи 289 АПК РФ, со дня его принятия – 05.11.2020, следовательно, двухмесячный срок на подачу кассационной жалобы истек 11.01.2021 (с учетом праздничных дней).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указана уплата государственной пошлины. Между тем, указанное обстоятельство не является уважительной причиной пропуска срока, установленного статьей 291.2 АПК РФ, поскольку ненадлежащая первоначальная подача кассационной жалобы и последующая уплата государственной пошлины 18.01.2021 – по истечение срока на подачу кассационной жалобы не свидетельствуют об уважительности причины пропуска срока подачи жалобы и не могут продлевать процессуальный срок.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АПК РФ о том, что срок подачи кассационной жалобы подлежит восстановлению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зависят исключительно от самого заявителя.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3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«Карьерные машины» в удовлетворении ходатайства о восстановлении пропущенного процессуального срока подачи кассационной жалобы на решение Арбитражного суда Красноярского края от 22.01.2020 по делу № А33-24485/2019, постановление Третьего арбитражного апелляционного суда от 10.08.2020 и постановление Арбитражного суда Восточно-Сибирского округа от 05.11.2020 по тому же делу. Жалобу общества с ограниченной ответственностью «Карьерные машины» возвратить без рассмотрения по существу.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