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Новосибирской области от 27.01.2020, оставленным без изменения постановлением Седьмого арбитражного апелляционного суда от 26.06.2020 и постановлением Арбитражного суда Западно-Сибирского округа от 24.09.2020, исковые требования общества удовлетворены, в удовлетворении исковых требований объединения отказано. В кассационной жалобе, поданной в Верховный Суд Российской Федерации, объединение,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Арбитражный суд Новосибирской области.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Как следует из судебных актов, исковые требования общества предъявлены на основании соглашения об уступке права требования и дополнительного соглашения к нему, заключенных обществом с обществом с ограниченной ответственностью «Сибирское аутсорсинговое агентство» (далее – агентство), согласно условиям которых последнее уступило обществу право требования к объединению, основанное на договоре о возмездном оказании услуг (далее – договор). Ссылаясь на недействительность соглашения об уступке права требования и дополнительного соглашения к нему, объединение обратилось в суд с соответствующими требованиями.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 факт оказания агентством услуг по договору, отсутствие доказательств их оплаты объединением в полном объеме, как и доказательств, свидетельствующих о недействительности соглашения об уступке права требования и дополнительного соглашения к нему, отметив, что размер уступленного права соответствует фактическому размеру задолженности объединения, руководствуясь статьями 166, 167, 168, 309, 310, 329, 330, 382, 384, 779, 781 Гражданского кодекса Российской Федерации, разъяснениями, приведенными в информационном письме Президиума Высшего Арбитражного Суда Российской Федерации от 30.10.2007 № 120 «Обзор практики применения арбитражными судами положений главы 24 Гражданского кодекса Российской Федерации», постановлении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суды первой и апелляционной инстанций пришли к выводу о наличии оснований для удовлетворения требований общества и отказа в удовлетворении требований объединения. Суд округа поддержал выводы судов первой и апелляционной инстанций. Доводы заявителя, в том числе о недействительности соглашения об уступке права требования и дополнительного соглашения к нему, их незаключенности были предметом рассмотрения судов, получили оценку со ссылкой на положения норм действующего законодательства применительно 3 к установленным фактическим обстоятельствам дела и мотивированно отклонены. Изложенные в кассационной жалобе доводы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пересмотра судебных актов в кассационной порядке.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«Хлебообъединение «Восход»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