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29.01.2020, оставленным без изменения постановлением Девятого арбитражного апелляционного суда от 19.06.2020 и постановлением Арбитражного суда Московского округа от 28.10.2020, иск удовлетворен. В кассационной жалобе общество «КСК Строй» просит о пересмотре судебных актов, ссылаясь на принятие расчета неустойки, составленного без учета погашенной зачетом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Довод заявителя, связанный с расчетом неустойки, был предметом обсуждения и оценки апелляционного и окружного судов и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«КСК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