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10.03.2020, оставленным без изменения постановлением Девятого арбитражного апелляционного суда от 21.07.2020 и постановлением Арбитражного суда Московского округа от 29.10.2020, первоначальный иск удовлетворен, в удовлетворении встречного иска отказано. В кассационной жалобе общество просит о пересмотре судебных актов, ссылаясь на то, что суды не проверили его возражения.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отказ предприятия от договора от 10.04.2017 № Ц/ПОТ-47/17 в связи с существенным нарушением его обществом, состоящим в поставке товара, не соответствующего согласованному техническому заданию, и взыскали уплаченную за товар сумму в качестве последствия такого отказа от договора соответствии со статьями 523, 1102 Гражданского кодекса Российской Федерации. Доводы общества противоречат установленным обстоятельствам исполнения обязательства и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«ПО ТЕХИНКОМ»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