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2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и приложенные к нему документы, суд приходит к выводу о наличии оснований для его удовлетворения. Руководствуясь статьями 102, 184, 185 Арбитражного процессуального кодекса Российской Федерации, статьями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Костаревой Натальи Ивановны удовлетворить. Предоставить Костаревой Наталье Ивановне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