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17.01.2020, оставленным без изменения постановлением Девятого арбитражного апелляционного суда от 04.08.2020, требование первоначального иска о взыскании дополнительных расходов оставлено без рассмотрения, в остальной части иска отказано; встречный иск удовлетворен. Арбитражный суд Московского округа постановлением от 29.10.2020 оставил без изменения решение от 17.01.2020 и постановление Девятого арбитражного апелляционного суда от 04.08.2020. В кассационной жалобе завод просит об отмене судебных актов, ссылаясь на противоречащий обстоятельствам дела ввод о действии договора и установление неразумного и необоснованного срока для принятия оборудования.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взаимодействие сторон в отношении поставки оборудования и после наступления согласованного срока поставки, поэтому признали договор действующим в соответствии с установленными обстоятельствами его исполнения. Суды определили предельный срок исполнения заводом обязанности, могущей быть исполненной в любой из периодов его течения.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«Рязанский Станкозавод»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