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13.03.2020, оставленным без изменения постановлением Семнадцатого арбитражного апелляционного суда от 10.06.2020, исковые требования удовлетворены. Арбитражный суд Уральского округа постановлением от 28.09.2020 решение от 13.03.2020 и постановление Семнадцатого арбитражного апелляционного суда от 10.06.2020 оставил без изменения. В кассационной жалобе банк просит об отмене судебных актов, ссылаясь на законность действий.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Руководствуясь статьями 845, 848, 849, 858 Гражданского кодекса Российской Федерации, нормами Федерального закона от 07.08.2001 № 115-ФЗ «О противодействии легализации (отмыванию) доходов, полученных преступным путем, и финансированию терроризма», суды не установили обстоятельств, позволяющих банку приостановить дистанционное банковское обслуживание клиента и отказать в исполнении его платежных поручений. Иная оценка заявителем своих действий, к которой сводятся доводы жалобы, противоречит установленным обстоятельствам спорных правоотношений.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«Уральский банк реконструкции и развития»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