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15.01.2021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Московского округа от 01.09.2020, то на момент обращения заявителя в Верховный Суд Российской Федерации срок, установленный статьей 291.2 АПК РФ , истек.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его восстановления. Общество в обоснование причин пропуска процессуального срока на подачу кассационной жалобы сослалось на необходимость дождаться результата судебного разбирательства по другому арбитражному делу. Между тем приведенная обществом причина пропуска срока не может быть признана уважительной и не зависящей от заявителя, поскольку ожидание результата рассмотрения другого дела не препятствовало своевременной подаче кассационной жалобы в Верховный Суд Российской Федерации в пределах установленного срока. Кроме того, следует отметить, что поскольку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01.09.2020 опубликован в общедоступной базе судебных актов 02.09.2020, заявитель имел реальную возможность в установленный законом срок подготовить и направить кассационную жалобу.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в электронном виде, в связи с чем бумажный носитель с текстом кассационной жалобы в адрес заявителя не возвращается. Так как платежное поручение от 14.01.2021 № 377 также представлено в электронном виде, вопрос о возврате государственной пошлины из федерального бюджета в отсутствие его оригинала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«СервисГрад» о восстановлении пропущенного срока подачи кассационной жалобы отказать. Кассационную жалобу общества с ограниченной ответственностью «СервисГрад» на решение Арбитражного суда Московской области от 27.01.2020, постановление Десятого арбитражного апелляционного суда от 19.05.2020 и постановление Арбитражного суда Московского округа от 01.09.2020 по делу № А41-94460/2019 возвратить заявителю. Судья Верховного Суда Российской Федерации Н.С. Чучунова Суд: Верховный Суд РФ (подробнее) Истцы: МУП ГОРОДСКОГО ПОСЕЛЕНИЯ ЗАГОРЯНСКИЙ "ЗАГОРЯНСКАЯ МУНИЦИПАЛЬНАЯ СЛУЖБА ЖИЛИЩНО-КОММУНАЛЬНОГО ХОЗЯЙСТВА" (подробнее) Ответчики: ООО "СервисГрад"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