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публичным акционерным обществом Банк «ВВБ» государственная корпорация «Агентство по страхованию вкладов» (далее – банк) обратился в суд с заявлением о включении в реестр требований кредиторов должника его требования в размере 29 044 535 рублей как обеспеченных залогом имущества должника. Определением Арбитражного суда Московской области от 10.12.2019, оставленным без изменения постановлением Десятого арбитражного апелляционного суда от 23.07.2020, в удовлетворении заявленных требований отказано. Постановлением Арбитражного суда Московского округа от 01.10.2020 вышеуказанные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судебные акты и направляя обособленный спор на новое рассмотрение, суд округа, руководствуясь статьями 337, 339 Гражданского кодекса Российской Федерации, статьями 63, 138 Федерального закона от 26.10.2002 № 127-ФЗ «О несостоятельности (банкротстве)», пунктом 20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того, что изложенные в них выводы основаны на неправильном применении норм материально права, неполном выяснении фактических обстоятельств, имеющих значение для дела, ненадлежащей оценке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«Юг-Сервис» Никулину Сергею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