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временная администрация обратилась в суд с заявлением о признании недействительными и применении последствий недействительности сделки – заключенного между должником и Серых С.Н. дополнительного соглашения от 30.11.2016 № 1 к договору поручительства от 02.02.2016 № 003/ДПФ-16-3. Определением Арбитражного суда города Москвы от 17.01.2020, оставленным без изменения постановлениями Девятого арбитражного апелляционного суда от 16.07.2020 и Арбитражного суда Московского округа от 05.10.2020, заявление удовлетворено, применены последствия недействительности в виде восстановления права требования должника к Серых С.Н. по указанному договору поручительства и его обязательств по данному договору.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168 и 174 Гражданского кодекса Российской Федерации, исходили из совершения сделки со злоупотреблением гражданскими правами как со стороны поручителя (заявителя), действия которого были направлены на недопущение предъявления к нему требований в связи с неисполнением обязательств заёмщиком, так и со стороны банка, который не мог не осознавать, что утрата обеспечительной сделки в период возникновения, как у банка, так и у заёмщика финансовых трудностей приведёт к нарушению прав иных кредиторов банка и уменьшению его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Серых Сергею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