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сделки – заключенного между должником и Мингазетдиновым Р.А. дополнительного соглашения от 30.11.2016 № 3 к договору поручительства от 27.07.2015 № 078/ДПФ-15. Определением Арбитражного суда города Москвы от 17.01.2020, оставленным без изменения постановлениями Девятого арбитражного апелляционного суда от 06.07.2020 и Арбитражного суда Московского округа от 08.10.2020, заявление удовлетворено, применены последствия недействительности в виде восстановления права требования должника к Мингазетдинову Р.А. по указанному договору поручительства и его обязательств по данному договору.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 и 174 Гражданского кодекса Российской Федерации, исходили из совершения оспариваемой сделки со злоупотреблением гражданскими правами как со стороны поручителя, действия которого были направлены на недопущение предъявления к нему требований в связи с неисполнением обязательств заёмщиком, руководителем которого он являлся и не мог не знать об отсутствии возможности погашения кредита, так и со стороны банка, который не мог не осознавать, что утрата обеспечительной сделки в период возникновения, как у банка, так и у заёмщика, финансовых трудностей приведёт к нарушению прав иных кредиторов банка и уменьшению его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Мингазетдинову Роману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