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16.12.2019, оставленным без изменения постановлением Тринадцатого арбитражного апелляционного суда от 26.05.2020 и постановлением Арбитражного суда Северо-Западного округа от 06.10.2020, иск удовлетворен. В кассационной жалобе компания просит об отмене судебных актов вследствие необоснованного отказа в уменьшении неустойки, взыскания судебных расходов в чрезмерном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в пределах данного дела обстоятельств, соответствующих критериям для уменьшения неустойки (статья 333 Гражданского кодекса Российской Федерации),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В отношении судебных расходов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 Федерации и обстоятельствам рассмотрения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««Производственно-инжиниринговая компания ЭЛБИ»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