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указанные судебные акты, одновременно ходатайствуя об отсрочке уплаты государственной пошлины за ее подачу, обосновывая неуплату государственной пошлины отсутствием у него денежных средств и нахождением в процедуре банкротства.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обществу с ограниченной ответственностью «Стройновация»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 Суд: Верховный Суд РФ (подробнее) Истцы: ООО К/у "Стройновация" Сидоров А.И. (подробнее) ООО "Ю-БИЛДИНГ" (подробнее) Ответчики: ООО "Стройновация" (подробнее) Судьи дела: Хатыпова Р.А.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