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28.05.2020, оставленным без изменения постановлением Девятого арбитражного апелляционного суда от 03.08.2020, иск удовлетворен. Арбитражный суд Московского округа постановлением от 16.10.2020 решение от 28.05.2020 и постановление Девятого арбитражного апелляционного суда от 03.08.2020 оставил без изменения. В кассационной жалобе общество «Глонасс Трейд» просит об отмене судебных актов, ссылаясь на незаключенность договора коммерческого представительства.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электронный документооборот согласован сторонами, поэтому электронное подписание договора признали надлежащей в силу статьи 160 Гражданского кодекса Российской Федерации формой его заключения.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«Глонасс Трейд»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