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25.02.2020, оставленным без изменения постановлением Семнадцатого арбитражного апелляционного суда от 18.06.2020, в удовлетворении иска отказано. Арбитражный суд Уральского округа постановлением от 24.09.2020 решение от 25.02.2020 и постановление Семнадцатого арбитражного апелляционного суда от 18.06.2020 оставил без изменения. В кассационной жалобе общество «АК НРСУ» просит об отмене судебных актов вследствие несоответствия выводов судов об отсутствии со стороны ответчика нарушений при проведении оценки фактическим обстоятельствам спора и представленным доказательствам.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Установление обстоятельств, составляющих необходимые в силу статей 15 , 393 Гражданского кодекса Российской Федерации условия для взыскания убытков, является компетенцией судов, рассматривающих дело по правилам для суда первой инстанции, и ее пересмотр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«АК НРСУ»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"АК НРСУ" (подробнее) Судьи дела: Ксенофонтова Н.А.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